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A7" w:rsidRDefault="00762E28" w:rsidP="008A5EE2">
      <w:pPr>
        <w:keepNext/>
        <w:keepLines/>
        <w:tabs>
          <w:tab w:val="num" w:pos="432"/>
        </w:tabs>
        <w:suppressAutoHyphens/>
        <w:spacing w:before="360" w:after="120" w:line="240" w:lineRule="auto"/>
        <w:ind w:left="432" w:hanging="432"/>
        <w:jc w:val="right"/>
        <w:outlineLvl w:val="0"/>
      </w:pPr>
      <w:bookmarkStart w:id="0" w:name="_Toc519518229"/>
      <w:bookmarkStart w:id="1" w:name="_Ref516486061"/>
      <w:bookmarkStart w:id="2" w:name="_Ref515747705"/>
      <w:bookmarkStart w:id="3" w:name="_Ref515747673"/>
      <w:proofErr w:type="spellStart"/>
      <w:r>
        <w:t>Коротин</w:t>
      </w:r>
      <w:proofErr w:type="spellEnd"/>
      <w:r>
        <w:t xml:space="preserve"> Алексей Владимирович</w:t>
      </w:r>
    </w:p>
    <w:p w:rsidR="00762E28" w:rsidRDefault="00762E28" w:rsidP="00762E28">
      <w:pPr>
        <w:keepNext/>
        <w:keepLines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</w:pPr>
      <w:r>
        <w:t>МБОУ «ООШ с</w:t>
      </w:r>
      <w:proofErr w:type="gramStart"/>
      <w:r>
        <w:t>.Б</w:t>
      </w:r>
      <w:proofErr w:type="gramEnd"/>
      <w:r>
        <w:t>ольшой содом Базарно-Карабулакского</w:t>
      </w:r>
    </w:p>
    <w:p w:rsidR="00762E28" w:rsidRDefault="00762E28" w:rsidP="00762E28">
      <w:pPr>
        <w:keepNext/>
        <w:keepLines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hAnsi="Arial"/>
          <w:b/>
          <w:bCs/>
          <w:caps/>
          <w:szCs w:val="20"/>
          <w:lang w:eastAsia="en-US"/>
        </w:rPr>
      </w:pPr>
      <w:r>
        <w:t xml:space="preserve"> муниципального района Саратовской области»</w:t>
      </w:r>
    </w:p>
    <w:p w:rsidR="00FE39A7" w:rsidRDefault="00FE39A7" w:rsidP="00E67043">
      <w:pPr>
        <w:keepNext/>
        <w:keepLines/>
        <w:tabs>
          <w:tab w:val="num" w:pos="432"/>
        </w:tabs>
        <w:suppressAutoHyphens/>
        <w:spacing w:before="360" w:after="120" w:line="240" w:lineRule="auto"/>
        <w:ind w:left="432" w:hanging="432"/>
        <w:outlineLvl w:val="0"/>
        <w:rPr>
          <w:rFonts w:ascii="Arial" w:hAnsi="Arial"/>
          <w:b/>
          <w:bCs/>
          <w:caps/>
          <w:szCs w:val="20"/>
          <w:lang w:eastAsia="en-US"/>
        </w:rPr>
      </w:pPr>
      <w:r>
        <w:rPr>
          <w:rFonts w:ascii="Arial" w:hAnsi="Arial"/>
          <w:b/>
          <w:bCs/>
          <w:caps/>
          <w:szCs w:val="20"/>
          <w:lang w:eastAsia="en-US"/>
        </w:rPr>
        <w:t>Настольный теннис</w:t>
      </w:r>
    </w:p>
    <w:p w:rsidR="00FE39A7" w:rsidRPr="000A2401" w:rsidRDefault="00FE39A7" w:rsidP="00E67043">
      <w:pPr>
        <w:keepNext/>
        <w:keepLines/>
        <w:tabs>
          <w:tab w:val="num" w:pos="432"/>
        </w:tabs>
        <w:suppressAutoHyphens/>
        <w:spacing w:before="360" w:after="120" w:line="240" w:lineRule="auto"/>
        <w:ind w:left="432" w:hanging="432"/>
        <w:outlineLvl w:val="0"/>
        <w:rPr>
          <w:rFonts w:ascii="Arial" w:hAnsi="Arial"/>
          <w:b/>
          <w:bCs/>
          <w:caps/>
          <w:szCs w:val="20"/>
          <w:lang w:eastAsia="en-US"/>
        </w:rPr>
      </w:pPr>
      <w:r w:rsidRPr="000A2401">
        <w:rPr>
          <w:rFonts w:ascii="Arial" w:hAnsi="Arial"/>
          <w:b/>
          <w:bCs/>
          <w:caps/>
          <w:szCs w:val="20"/>
          <w:lang w:eastAsia="en-US"/>
        </w:rPr>
        <w:t>ПРАВИЛА ИГРЫ</w:t>
      </w:r>
      <w:bookmarkEnd w:id="0"/>
      <w:bookmarkEnd w:id="1"/>
      <w:bookmarkEnd w:id="2"/>
      <w:bookmarkEnd w:id="3"/>
    </w:p>
    <w:p w:rsidR="00FE39A7" w:rsidRPr="00E67043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Cs/>
          <w:szCs w:val="20"/>
          <w:lang w:eastAsia="en-US"/>
        </w:rPr>
      </w:pPr>
      <w:bookmarkStart w:id="4" w:name="_Toc519518230"/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Стол</w:t>
      </w:r>
      <w:bookmarkEnd w:id="4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№3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Верхняя поверхность стола, называемая «игровой поверхностью», длиной 2,74 м и шириной 1,525 м, должна быть прямоугольной и лежать в горизонтальной плоскости на высоте </w:t>
      </w:r>
      <w:smartTag w:uri="urn:schemas-microsoft-com:office:smarttags" w:element="metricconverter">
        <w:smartTagPr>
          <w:attr w:name="ProductID" w:val="76 с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76 см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 xml:space="preserve"> от пола.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Игровая поверхность включает верхние кромки стола, но не боковые стороны ниже кромок.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Игровая поверхность может быть из любого материала и должна обеспечивать единообразный отскок около </w:t>
      </w:r>
      <w:smartTag w:uri="urn:schemas-microsoft-com:office:smarttags" w:element="metricconverter">
        <w:smartTagPr>
          <w:attr w:name="ProductID" w:val="23 с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23 см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 xml:space="preserve"> при падении на нее стандартного мяча с высоты </w:t>
      </w:r>
      <w:smartTag w:uri="urn:schemas-microsoft-com:office:smarttags" w:element="metricconverter">
        <w:smartTagPr>
          <w:attr w:name="ProductID" w:val="30 с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30 см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>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Игровая поверхность должна быть матовой, однородной темной окраски с белой «боковой линией» шириной </w:t>
      </w:r>
      <w:smartTag w:uri="urn:schemas-microsoft-com:office:smarttags" w:element="metricconverter">
        <w:smartTagPr>
          <w:attr w:name="ProductID" w:val="2 с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2 см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 xml:space="preserve"> вдоль каждой кромки по стороне 2,74 м и белой «концевой линией» тоже шириной </w:t>
      </w:r>
      <w:smartTag w:uri="urn:schemas-microsoft-com:office:smarttags" w:element="metricconverter">
        <w:smartTagPr>
          <w:attr w:name="ProductID" w:val="2 с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2 см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 xml:space="preserve"> вдоль каждой кромки 1,525 м.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Игровая поверхность должна быть разделена на 2 половины вертикальной сеткой, расположенной параллельно концевым линиям, непрерывной на всем протяжении каждой половины.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Для парных игр каждая половина должна быть разделена на 2 равные «полуплощадки» белой «центральной» линией шириной </w:t>
      </w:r>
      <w:smartTag w:uri="urn:schemas-microsoft-com:office:smarttags" w:element="metricconverter">
        <w:smartTagPr>
          <w:attr w:name="ProductID" w:val="3 м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3 мм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>, проходящей параллельно боковым линиям; центральную линию следует считать частью каждой правой полуплощадки.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5" w:name="_Toc519518231"/>
      <w:bookmarkStart w:id="6" w:name="_Toc319099648"/>
      <w:bookmarkStart w:id="7" w:name="_Toc319098285"/>
      <w:bookmarkStart w:id="8" w:name="_Toc317432400"/>
      <w:r w:rsidRPr="000A2401">
        <w:rPr>
          <w:rFonts w:ascii="Arial" w:hAnsi="Arial"/>
          <w:b/>
          <w:bCs/>
          <w:i/>
          <w:szCs w:val="20"/>
          <w:lang w:eastAsia="en-US"/>
        </w:rPr>
        <w:t xml:space="preserve">Комплект </w:t>
      </w:r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сетки</w:t>
      </w:r>
      <w:bookmarkEnd w:id="5"/>
      <w:bookmarkEnd w:id="6"/>
      <w:bookmarkEnd w:id="7"/>
      <w:bookmarkEnd w:id="8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№4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Комплект сетки состоит из собственно сетки, подвесного шнура и опорных стоек, включая те части опорных стоек, которые служат для крепления стоек к поверхности стола.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Сетку подвешивают на шнур, привязанный с каждого конца к вертикальной части стоек высотой 15,25 см; длина выступающих частей стоек не должна превышать 15,25 см в сторону от боковых линий.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Верх сетки по всей ее длине должен находиться на высоте 15,25 см над игровой поверхностью.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Низ сетки по всей ее длине должен быть насколько возможно ближе к игровой поверхности стола, а концы сетки к опорным стойкам.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9" w:name="_Toc519518232"/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Мяч</w:t>
      </w:r>
      <w:bookmarkEnd w:id="9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№5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Мяч должен быть сферическим, диаметром </w:t>
      </w:r>
      <w:smartTag w:uri="urn:schemas-microsoft-com:office:smarttags" w:element="metricconverter">
        <w:smartTagPr>
          <w:attr w:name="ProductID" w:val="40 м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40 мм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>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Масса мяча должна быть 2,7 г.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Мяч должен быть изготовлен из целлулоида или подобной пластмассы белого или оранжевого цвета, матовым.</w:t>
      </w:r>
      <w:proofErr w:type="gramEnd"/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10" w:name="_Toc519518233"/>
      <w:bookmarkStart w:id="11" w:name="_Toc319099650"/>
      <w:bookmarkStart w:id="12" w:name="_Toc319098287"/>
      <w:bookmarkStart w:id="13" w:name="_Toc317432402"/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Ракетка</w:t>
      </w:r>
      <w:bookmarkEnd w:id="10"/>
      <w:bookmarkEnd w:id="11"/>
      <w:bookmarkEnd w:id="12"/>
      <w:bookmarkEnd w:id="13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№6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Ракетка может быть любого размера, формы и массы, но ее лопасть должна быть плоской и жесткой.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По крайней мере, 85% лопасти по толщине должно быть из натурального дерева. Клеевой слой внутри лопасти может быть армирован волокнистым материалом, таким, как углеродистая фибра, </w:t>
      </w:r>
      <w:proofErr w:type="spellStart"/>
      <w:r w:rsidRPr="000A2401">
        <w:rPr>
          <w:rFonts w:ascii="Arial" w:hAnsi="Arial"/>
          <w:bCs/>
          <w:sz w:val="20"/>
          <w:szCs w:val="20"/>
          <w:lang w:eastAsia="en-US"/>
        </w:rPr>
        <w:t>фибергласс</w:t>
      </w:r>
      <w:proofErr w:type="spell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или прессованная бумага; этот армирующий слой должен быть не более 7,5% общей толщины, и не превышать 0,35 мм.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bookmarkStart w:id="14" w:name="_Ref516485673"/>
      <w:r w:rsidRPr="000A2401">
        <w:rPr>
          <w:rFonts w:ascii="Arial" w:hAnsi="Arial"/>
          <w:bCs/>
          <w:sz w:val="20"/>
          <w:szCs w:val="20"/>
          <w:lang w:eastAsia="en-US"/>
        </w:rPr>
        <w:t xml:space="preserve">Сторона лопасти, используемая для удара по мячу, должна быть покрыта обычной однослойной пупырчатой резиной с пупырышками наружу, с общей толщиной вместе с клеевым слоем до </w:t>
      </w:r>
      <w:smartTag w:uri="urn:schemas-microsoft-com:office:smarttags" w:element="metricconverter">
        <w:smartTagPr>
          <w:attr w:name="ProductID" w:val="2 м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2 мм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 xml:space="preserve">, либо двухслойной резиной типа «сэндвич» с пупырышками внутрь или наружу, с общей толщиной вместе с клеем до </w:t>
      </w:r>
      <w:smartTag w:uri="urn:schemas-microsoft-com:office:smarttags" w:element="metricconverter">
        <w:smartTagPr>
          <w:attr w:name="ProductID" w:val="4 м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4 мм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 xml:space="preserve"> включительно.</w:t>
      </w:r>
      <w:bookmarkEnd w:id="14"/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«Обычная пупырчатая резина» - это однослойная не ячеистая резина, натуральная или синтетическая, с пупырышками, равномерно распределенными по ее поверхности с плотностью не менее 10 и не более 50 штук на 1 см</w:t>
      </w:r>
      <w:proofErr w:type="gramStart"/>
      <w:r w:rsidRPr="000A2401">
        <w:rPr>
          <w:rFonts w:ascii="Arial" w:hAnsi="Arial"/>
          <w:bCs/>
          <w:sz w:val="20"/>
          <w:szCs w:val="20"/>
          <w:vertAlign w:val="superscript"/>
          <w:lang w:eastAsia="en-US"/>
        </w:rPr>
        <w:t>2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>. Отношение высоты пупырышек к их диаметру не должно быть более 1,1.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Резина типа «сэндвич» - один слой ячеистой (пористой) резины, покрытой снаружи одним слоем обычной пупырчатой резины; толщина пупырчатой резины - до </w:t>
      </w:r>
      <w:smartTag w:uri="urn:schemas-microsoft-com:office:smarttags" w:element="metricconverter">
        <w:smartTagPr>
          <w:attr w:name="ProductID" w:val="2 мм"/>
        </w:smartTagPr>
        <w:r w:rsidRPr="000A2401">
          <w:rPr>
            <w:rFonts w:ascii="Arial" w:hAnsi="Arial"/>
            <w:bCs/>
            <w:sz w:val="20"/>
            <w:szCs w:val="20"/>
            <w:lang w:eastAsia="en-US"/>
          </w:rPr>
          <w:t>2 мм</w:t>
        </w:r>
      </w:smartTag>
      <w:r w:rsidRPr="000A2401">
        <w:rPr>
          <w:rFonts w:ascii="Arial" w:hAnsi="Arial"/>
          <w:bCs/>
          <w:sz w:val="20"/>
          <w:szCs w:val="20"/>
          <w:lang w:eastAsia="en-US"/>
        </w:rPr>
        <w:t xml:space="preserve"> включительно.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lastRenderedPageBreak/>
        <w:t>Покрывающий материал должен полностью закрывать лопасть, не выступая за ее края, кроме части лопасти, примыкающей к ручке и охватываемой пальцами. Эта часть лопасти может оставаться непокрытой или покрытой любым материалом, ее следует считать частью ручки.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bookmarkStart w:id="15" w:name="_Ref516485742"/>
      <w:r w:rsidRPr="000A2401">
        <w:rPr>
          <w:rFonts w:ascii="Arial" w:hAnsi="Arial"/>
          <w:bCs/>
          <w:sz w:val="20"/>
          <w:szCs w:val="20"/>
          <w:lang w:eastAsia="en-US"/>
        </w:rPr>
        <w:t>Лопасть, любой слой внутри лопасти и любой слой покрывающего или склеивающего материала на стороне, используемой для ударов по мячу, должны быть сплошными и одинаковой толщины.</w:t>
      </w:r>
      <w:bookmarkEnd w:id="15"/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Поверхность покрывающего сторону лопасти материала или сторона лопасти, оставленная непокрытой, должны быть равномерной окраски и матовыми: одна сторона - черного цвета, а другая - ярко-красного. 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Допускаются небольшие отклонения от однородности поверхности и равномерности окраски в результате случайного повреждения, износа или потускнения при условии, что эти отклонения существенно не изменяют характеристик поверхности.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В начале встречи и когда бы игрок ни сменил свою ракетку в течение встречи, он должен показать ракетку своему сопернику и судье и позволить им осмотреть ее.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16" w:name="_Toc519518234"/>
      <w:bookmarkStart w:id="17" w:name="_Toc319099651"/>
      <w:bookmarkStart w:id="18" w:name="_Toc319098288"/>
      <w:bookmarkStart w:id="19" w:name="_Toc317432403"/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Определения</w:t>
      </w:r>
      <w:bookmarkEnd w:id="16"/>
      <w:bookmarkEnd w:id="17"/>
      <w:bookmarkEnd w:id="18"/>
      <w:bookmarkEnd w:id="19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№7,8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«Розыгрыш» - период времени, когда мяч находится в игре.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«Мяч в игре» находится с последнего момента нахождения его на неподвижной ладони свободной руки перед намеренным подбрасыванием его в подаче до тех пор, пока он не коснется чего-либо кроме игровой поверхности, комплекта сетки, ракетки, находящейся в руке, или руки с ракеткой ниже запястья или до тех пор, пока не будет решено, что розыгрыш следует переиграть или он завершен очком</w:t>
      </w:r>
      <w:proofErr w:type="gramEnd"/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«Переигровка» - розыгрыш, результат которого не засчитан.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«Очко» - розыгрыш, результат которого засчитан.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«Рука с ракеткой» - рука, держащая ракетку.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«Свободная рука» - рука без ракетки.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Игрок «ударяет» мяч, если он касается мяча своей ракеткой, держа ее рукой, или своей рукой (с ракеткой) ниже запястья.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Игрок «мешает» мячу, если он, а также что-либо из того, что он надевает или носит, касаются мяча в игре, летящего в направлении игровой поверхности, пока мяч не пролетел позади его концевой линией, не задев половины стола этого игрока после того, как мяч последний раз был отбит соперником.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«Подающий» - игрок, который должен первым ударить по мячу в розыгрыше.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«Принимающий» - игрок, который должен вторым ударить по мячу в розыгрыше.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«Судья» - лицо, назначенное контролировать встречу.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«Судья-ассистент» - лицо, назначенное содействовать судье в принятии определенных решений.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Понятие игрок «надевает или носит» включает в себя все, что на нем было надето или что он носил в начале розыгрыша.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Мяч считается прошедшим «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над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или вокруг» 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комплекта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сетки, если он пролетел как угодно, но не между сеткой и стойкой сетки или между сеткой и игровой поверхностью.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«Концевую линию» следует рассматривать 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продолжающейся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неопределенно долго в обоих направлениях.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20" w:name="_Toc519518235"/>
      <w:r w:rsidRPr="000A2401">
        <w:rPr>
          <w:rFonts w:ascii="Arial" w:hAnsi="Arial"/>
          <w:b/>
          <w:bCs/>
          <w:i/>
          <w:szCs w:val="20"/>
          <w:lang w:eastAsia="en-US"/>
        </w:rPr>
        <w:t xml:space="preserve">Правильная </w:t>
      </w:r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подача</w:t>
      </w:r>
      <w:bookmarkEnd w:id="20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№9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Подача начинается с подбрасывания мяча примерно вертикально вверх без вращения с плоской открытой ладони свободной руки  подающего.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Подающий должен подбросить мяч только рукой так, чтобы мяч  взлетел  не менее чем на 16см после того, как он покинул ладонь свободной руки подающего и опустился, не коснувшись чего-либо до удара по нему ракеткой.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Когда мяч падает с высшей точки своей траектории, подающий должен ударить его так, чтобы мяч коснулся сначала его половины стола, а за</w:t>
      </w:r>
      <w:r w:rsidRPr="000A2401">
        <w:rPr>
          <w:rFonts w:ascii="Arial" w:hAnsi="Arial"/>
          <w:bCs/>
          <w:sz w:val="20"/>
          <w:szCs w:val="20"/>
          <w:lang w:eastAsia="en-US"/>
        </w:rPr>
        <w:softHyphen/>
        <w:t>тем, пролетев прямо «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над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или вокруг» 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комплекта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сетки, коснулся поло</w:t>
      </w:r>
      <w:r w:rsidRPr="000A2401">
        <w:rPr>
          <w:rFonts w:ascii="Arial" w:hAnsi="Arial"/>
          <w:bCs/>
          <w:sz w:val="20"/>
          <w:szCs w:val="20"/>
          <w:lang w:eastAsia="en-US"/>
        </w:rPr>
        <w:softHyphen/>
        <w:t>вины стола принимающего, а в парных играх, мяч коснулся последова</w:t>
      </w:r>
      <w:r w:rsidRPr="000A2401">
        <w:rPr>
          <w:rFonts w:ascii="Arial" w:hAnsi="Arial"/>
          <w:bCs/>
          <w:sz w:val="20"/>
          <w:szCs w:val="20"/>
          <w:lang w:eastAsia="en-US"/>
        </w:rPr>
        <w:softHyphen/>
        <w:t>тельно «полуплощадки» подающего, а затем, «полуплощадки» принимающего.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С момента, когда  мяч покидает ладонь свободной руки подающего до удара по нему ракеткой, мяч должен быть выше уровня игровой поверхности и позади концевой линии подающего.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lastRenderedPageBreak/>
        <w:t xml:space="preserve">Когда мяч ударяют при подаче, он должен находиться позади концевой линии половины стола подающего и выше уровня игровой поверхности, при этом никакая часть тела или одежды подающего или его партнера по парной встрече не должны закрывать мяч 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от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принимающего.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Игрок обязан подавать так, чтобы судья и принимающий подачу могли видеть, что он выполняет все требования, предъявляемые к правильной подаче.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Судья может при первом сомнении в правильности подачи прервать игру и предупредить подающего без присуждения очка. Если один из игроков пары был предупрежден по поводу подачи, не требуется предупреждать его партнера о сомнительном выполнении им подачи, а просто присудить очко соперникам. 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В любом следующем в этой встрече случае сомнения в правильности подачи того же игрока или его партнера по паре, по той же или иной причине, принимающему присуждают очко.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Когда подающий явно нарушил требования к правильной подаче, он теряет очко без предупреждения в первом же или любом другом случае нарушения.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Как исключение судья может смягчить требования к выполнению правильной подачи, если отметит, что ее выполнению препятствует физический недостаток подающего.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21" w:name="_Toc519518236"/>
      <w:r w:rsidRPr="000A2401">
        <w:rPr>
          <w:rFonts w:ascii="Arial" w:hAnsi="Arial"/>
          <w:b/>
          <w:bCs/>
          <w:i/>
          <w:szCs w:val="20"/>
          <w:lang w:eastAsia="en-US"/>
        </w:rPr>
        <w:t xml:space="preserve">Правильный </w:t>
      </w:r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возврат</w:t>
      </w:r>
      <w:bookmarkEnd w:id="21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№10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Поданный или возвращенный мяч следует ударить так, чтобы он пролетел 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над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или вокруг комплекта сетки и коснулся (один раз) половины стола соперника сразу или после касаний комплекта сетки.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22" w:name="_Toc519518237"/>
      <w:r w:rsidRPr="000A2401">
        <w:rPr>
          <w:rFonts w:ascii="Arial" w:hAnsi="Arial"/>
          <w:b/>
          <w:bCs/>
          <w:i/>
          <w:szCs w:val="20"/>
          <w:lang w:eastAsia="en-US"/>
        </w:rPr>
        <w:t xml:space="preserve">Порядок </w:t>
      </w:r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игры</w:t>
      </w:r>
      <w:bookmarkEnd w:id="22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№11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В одиночных встречах подающий должен первым выполнить правильную подачу, принимающий должен затем выполнить правильный возврат, после чего подающий и принимающий поочередно выполняют правильный возврат.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В парных встречах подающий должен первым выполнить правильную подачу, принимающий должен затем выполнить правильный возврат, после чего партнер подающего должен произвести правильный возврат, затем правильный возврат следует выполнить партнеру принимающего; в дальнейшем каждый игрок в такой же очередности должен выполнить правильный возврат.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23" w:name="_Toc519518238"/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Переигровка</w:t>
      </w:r>
      <w:bookmarkEnd w:id="23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№12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Розыгрыш переигрывается, если: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при подаче мяч, пролетая «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над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или вокруг» комплекта сетки, коснется его (при условии, что во всех других отношениях подача выполнена правильно) или принимающий (или его партнер) помешает мячу;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подача выполнена, когда принимающий (пара) не готов к приему мяча, при условии, что никто 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из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принимающих не пытался отбить мяч;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ошибка при выполнении правильной подачи, правильного возврата или какого-либо другого требования правил игры произошла помимо воли игрока;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игра прервана судьей или судьей-ассистентом.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Игра может быть остановлена: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для исправления ошибки в очередности подачи, приема или смены сторон;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для введения правила активизации игры;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для предупреждения или наказания игрока;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поскольку игровые условия изменились настолько, что это могло повлиять на исход розыгрыша.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24" w:name="_Toc519518239"/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Очко</w:t>
      </w:r>
      <w:bookmarkEnd w:id="24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№13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Когда розыгрыш не переигрывается, игрок выигрывает очко, если: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его соперник не выполнил правильную подачу;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его соперник не выполнил правильный возврат;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после его правильной подачи или правильного возврата мяч до удара его соперника коснётся чего-либо, кроме комплекта сетки;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мяч, после того, как он был отбит соперником, пролетит над концевой линией стороны игровой поверхности данного игрока, не коснувшись ее;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его соперник мешает мячу; 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его соперник ударяет мяч дважды подряд;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его соперник ударяет мяч стороной ракетки, поверхность которой не соответствует требованиям п.</w:t>
      </w:r>
      <w:r w:rsidR="0062399D" w:rsidRPr="000A2401">
        <w:rPr>
          <w:rFonts w:ascii="Arial" w:hAnsi="Arial"/>
          <w:bCs/>
          <w:sz w:val="20"/>
          <w:szCs w:val="20"/>
          <w:lang w:eastAsia="en-US"/>
        </w:rPr>
        <w:fldChar w:fldCharType="begin"/>
      </w:r>
      <w:r w:rsidRPr="000A2401">
        <w:rPr>
          <w:rFonts w:ascii="Arial" w:hAnsi="Arial"/>
          <w:bCs/>
          <w:sz w:val="20"/>
          <w:szCs w:val="20"/>
          <w:lang w:eastAsia="en-US"/>
        </w:rPr>
        <w:instrText xml:space="preserve"> REF _Ref516485673 r h </w:instrText>
      </w:r>
      <w:r w:rsidR="0062399D" w:rsidRPr="000A2401">
        <w:rPr>
          <w:rFonts w:ascii="Arial" w:hAnsi="Arial"/>
          <w:bCs/>
          <w:sz w:val="20"/>
          <w:szCs w:val="20"/>
          <w:lang w:eastAsia="en-US"/>
        </w:rPr>
        <w:fldChar w:fldCharType="separate"/>
      </w:r>
      <w:r w:rsidRPr="000A2401">
        <w:rPr>
          <w:rFonts w:ascii="Arial" w:hAnsi="Arial"/>
          <w:bCs/>
          <w:sz w:val="20"/>
          <w:szCs w:val="20"/>
          <w:lang w:eastAsia="en-US"/>
        </w:rPr>
        <w:t xml:space="preserve">Сторона лопасти, используемая для удара по мячу, должна быть покрыта обычной однослойной пупырчатой резиной с пупырышками наружу, с общей толщиной вместе с </w:t>
      </w:r>
      <w:r w:rsidRPr="000A2401">
        <w:rPr>
          <w:rFonts w:ascii="Arial" w:hAnsi="Arial"/>
          <w:bCs/>
          <w:sz w:val="20"/>
          <w:szCs w:val="20"/>
          <w:lang w:eastAsia="en-US"/>
        </w:rPr>
        <w:lastRenderedPageBreak/>
        <w:t xml:space="preserve">клеевым слоем до 2 мм, либо двухслойной резиной типа «сэндвич» с пупырышками внутрь или наружу, с общей толщиной вместе с клеем до 4 мм </w:t>
      </w:r>
      <w:proofErr w:type="spellStart"/>
      <w:r w:rsidRPr="000A2401">
        <w:rPr>
          <w:rFonts w:ascii="Arial" w:hAnsi="Arial"/>
          <w:bCs/>
          <w:sz w:val="20"/>
          <w:szCs w:val="20"/>
          <w:lang w:eastAsia="en-US"/>
        </w:rPr>
        <w:t>включительно.</w:t>
      </w:r>
      <w:proofErr w:type="gramEnd"/>
      <w:r w:rsidR="0062399D" w:rsidRPr="000A2401">
        <w:rPr>
          <w:rFonts w:ascii="Arial" w:hAnsi="Arial"/>
          <w:bCs/>
          <w:sz w:val="20"/>
          <w:szCs w:val="20"/>
          <w:lang w:eastAsia="en-US"/>
        </w:rPr>
        <w:fldChar w:fldCharType="end"/>
      </w:r>
      <w:r w:rsidRPr="000A2401">
        <w:rPr>
          <w:rFonts w:ascii="Arial" w:hAnsi="Arial"/>
          <w:bCs/>
          <w:sz w:val="20"/>
          <w:szCs w:val="20"/>
          <w:lang w:eastAsia="en-US"/>
        </w:rPr>
        <w:t>-</w:t>
      </w:r>
      <w:r w:rsidR="0062399D" w:rsidRPr="000A2401">
        <w:rPr>
          <w:rFonts w:ascii="Arial" w:hAnsi="Arial"/>
          <w:bCs/>
          <w:sz w:val="20"/>
          <w:szCs w:val="20"/>
          <w:lang w:eastAsia="en-US"/>
        </w:rPr>
        <w:fldChar w:fldCharType="begin"/>
      </w:r>
      <w:r w:rsidRPr="000A2401">
        <w:rPr>
          <w:rFonts w:ascii="Arial" w:hAnsi="Arial"/>
          <w:bCs/>
          <w:sz w:val="20"/>
          <w:szCs w:val="20"/>
          <w:lang w:eastAsia="en-US"/>
        </w:rPr>
        <w:instrText xml:space="preserve"> REF _Ref516485742 r h </w:instrText>
      </w:r>
      <w:r w:rsidR="0062399D" w:rsidRPr="000A2401">
        <w:rPr>
          <w:rFonts w:ascii="Arial" w:hAnsi="Arial"/>
          <w:bCs/>
          <w:sz w:val="20"/>
          <w:szCs w:val="20"/>
          <w:lang w:eastAsia="en-US"/>
        </w:rPr>
        <w:fldChar w:fldCharType="separate"/>
      </w:r>
      <w:r w:rsidRPr="000A2401">
        <w:rPr>
          <w:rFonts w:ascii="Arial" w:hAnsi="Arial"/>
          <w:bCs/>
          <w:sz w:val="20"/>
          <w:szCs w:val="20"/>
          <w:lang w:eastAsia="en-US"/>
        </w:rPr>
        <w:t>Лопасть</w:t>
      </w:r>
      <w:proofErr w:type="spellEnd"/>
      <w:r w:rsidRPr="000A2401">
        <w:rPr>
          <w:rFonts w:ascii="Arial" w:hAnsi="Arial"/>
          <w:bCs/>
          <w:sz w:val="20"/>
          <w:szCs w:val="20"/>
          <w:lang w:eastAsia="en-US"/>
        </w:rPr>
        <w:t>, любой слой внутри лопасти и любой слой покрывающего или склеивающего материала на стороне, используемой для ударов по мячу, должны быть сплошными и одинаковой толщины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.</w:t>
      </w:r>
      <w:r w:rsidR="0062399D" w:rsidRPr="000A2401">
        <w:rPr>
          <w:rFonts w:ascii="Arial" w:hAnsi="Arial"/>
          <w:bCs/>
          <w:sz w:val="20"/>
          <w:szCs w:val="20"/>
          <w:lang w:eastAsia="en-US"/>
        </w:rPr>
        <w:fldChar w:fldCharType="end"/>
      </w:r>
      <w:r w:rsidRPr="000A2401">
        <w:rPr>
          <w:rFonts w:ascii="Arial" w:hAnsi="Arial"/>
          <w:bCs/>
          <w:sz w:val="20"/>
          <w:szCs w:val="20"/>
          <w:lang w:eastAsia="en-US"/>
        </w:rPr>
        <w:t>;</w:t>
      </w:r>
      <w:proofErr w:type="gramEnd"/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его соперник или то, что он надевает или носит, сдвинет игровую поверхность, пока мяч в игре;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его соперник или то, что он «надевает или носит» коснется комплекта сетки, пока мяч в игре;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его соперник коснется свободной рукой игровой поверхности;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в парной встрече кто-либо из его соперников ударяет по мячу не в порядке, установленном первым подающим и первым принимающим;</w:t>
      </w:r>
    </w:p>
    <w:p w:rsidR="00FE39A7" w:rsidRPr="000A2401" w:rsidRDefault="00FE39A7" w:rsidP="00E67043">
      <w:pPr>
        <w:tabs>
          <w:tab w:val="num" w:pos="864"/>
        </w:tabs>
        <w:spacing w:before="20" w:after="0" w:line="240" w:lineRule="auto"/>
        <w:ind w:left="864" w:hanging="864"/>
        <w:jc w:val="both"/>
        <w:outlineLvl w:val="3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как обусловлено правилом активизации игры (п.</w:t>
      </w:r>
      <w:r w:rsidR="0062399D" w:rsidRPr="000A2401">
        <w:rPr>
          <w:rFonts w:ascii="Arial" w:hAnsi="Arial"/>
          <w:bCs/>
          <w:sz w:val="20"/>
          <w:szCs w:val="20"/>
          <w:lang w:eastAsia="en-US"/>
        </w:rPr>
        <w:fldChar w:fldCharType="begin"/>
      </w:r>
      <w:r w:rsidRPr="000A2401">
        <w:rPr>
          <w:rFonts w:ascii="Arial" w:hAnsi="Arial"/>
          <w:bCs/>
          <w:sz w:val="20"/>
          <w:szCs w:val="20"/>
          <w:lang w:eastAsia="en-US"/>
        </w:rPr>
        <w:instrText xml:space="preserve"> REF _Ref516485792 n h </w:instrText>
      </w:r>
      <w:r w:rsidR="0062399D" w:rsidRPr="000A2401">
        <w:rPr>
          <w:rFonts w:ascii="Arial" w:hAnsi="Arial"/>
          <w:bCs/>
          <w:sz w:val="20"/>
          <w:szCs w:val="20"/>
          <w:lang w:eastAsia="en-US"/>
        </w:rPr>
        <w:fldChar w:fldCharType="separate"/>
      </w:r>
      <w:r w:rsidRPr="000A2401">
        <w:rPr>
          <w:rFonts w:ascii="Arial" w:hAnsi="Arial"/>
          <w:bCs/>
          <w:sz w:val="20"/>
          <w:szCs w:val="20"/>
          <w:lang w:eastAsia="en-US"/>
        </w:rPr>
        <w:t>Впоследствии каждый игрок (пара) должен подавать поочередно для розыгрыша только 1 очка и, если розыгрыш не завершится до того, как принимающий игрок (пара) выполнит 13 правильных возвратов, подающий проигрывает очко.</w:t>
      </w:r>
      <w:r w:rsidR="0062399D" w:rsidRPr="000A2401">
        <w:rPr>
          <w:rFonts w:ascii="Arial" w:hAnsi="Arial"/>
          <w:bCs/>
          <w:sz w:val="20"/>
          <w:szCs w:val="20"/>
          <w:lang w:eastAsia="en-US"/>
        </w:rPr>
        <w:fldChar w:fldCharType="end"/>
      </w:r>
      <w:r w:rsidRPr="000A2401">
        <w:rPr>
          <w:rFonts w:ascii="Arial" w:hAnsi="Arial"/>
          <w:bCs/>
          <w:sz w:val="20"/>
          <w:szCs w:val="20"/>
          <w:lang w:eastAsia="en-US"/>
        </w:rPr>
        <w:t xml:space="preserve">). 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25" w:name="_Toc519518240"/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Партия</w:t>
      </w:r>
      <w:bookmarkEnd w:id="25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№14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Партию выигрывает игрок (пара), первым набравший 11 очков, если только оба игрока (пары) не набрали по 10 очков; в этом случае партия будет выиграна игроком (парой), который первым наберет на 2 очка больше соперника (пары).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26" w:name="_Toc519518242"/>
      <w:r w:rsidRPr="000A2401">
        <w:rPr>
          <w:rFonts w:ascii="Arial" w:hAnsi="Arial"/>
          <w:b/>
          <w:bCs/>
          <w:i/>
          <w:szCs w:val="20"/>
          <w:lang w:eastAsia="en-US"/>
        </w:rPr>
        <w:t xml:space="preserve">Выбор подачи, приема и </w:t>
      </w:r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сторон</w:t>
      </w:r>
      <w:bookmarkEnd w:id="26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№15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Право выбрать стартовый порядок подачи, приема и сторону определяют жребием; выигравший это право, может выбрать: подачу или прием первым, начать встречу на определенной им стороне стола.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Когда один игрок (пара) выбрал право первым подавать или принимать или начать игру на определенной стороне, его соперник  (пара) получает право на свой выбор (отличный от первого).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После каждых 2 засчитанных очков принимающий игрок (пара) должен стать подающим и так до конца партии или до тех пор, пока каждый из соперников не наберет по 10 очков или не будет введено правило активизации игры, когда смена подающего и принимающего остаются такими же, но только после каждого очка.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В каждой партии парной встречи пара, имеющая право подавать первой, должна решить, кто из игроков этой пары будет выполнять подачу первым, а принимающая пара в первой партии должна решить, кто будет принимать первым; в следующих партиях этой встречи, как только будет определен первый подающий, 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первым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принимающим должен стать подававший на него в предыдущей партии.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В парных встречах при каждой смене подачи предыдущий принимающий должен стать подающим, а партнер предыдущего подающего - принимающим.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Игрок (пара), подающий первым в партии, должен принимать первым в следующей партии этой встречи, а в последней возможной партии парной 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встречи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как только одна из пар наберет 5 очков, пара, которой надлежит принимать, должна сменить своего принимающего.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Игрок (пара), начинающий партию на одной стороне, следующую партию этой встречи должен начинать на противоположной стороне, а в последней возможной партии этой встречи игроки (пары) должны поменяться сторонами, как только один из них (пара) первым наберет 5 очков.</w:t>
      </w:r>
    </w:p>
    <w:p w:rsidR="00FE39A7" w:rsidRPr="000A2401" w:rsidRDefault="00FE39A7" w:rsidP="00E67043">
      <w:pPr>
        <w:keepNext/>
        <w:keepLines/>
        <w:tabs>
          <w:tab w:val="num" w:pos="576"/>
        </w:tabs>
        <w:spacing w:before="120" w:after="0" w:line="240" w:lineRule="auto"/>
        <w:ind w:left="576" w:hanging="576"/>
        <w:outlineLvl w:val="1"/>
        <w:rPr>
          <w:rFonts w:ascii="Arial" w:hAnsi="Arial"/>
          <w:b/>
          <w:bCs/>
          <w:i/>
          <w:szCs w:val="20"/>
          <w:lang w:eastAsia="en-US"/>
        </w:rPr>
      </w:pPr>
      <w:bookmarkStart w:id="27" w:name="_Toc519518243"/>
      <w:r w:rsidRPr="000A2401">
        <w:rPr>
          <w:rFonts w:ascii="Arial" w:hAnsi="Arial"/>
          <w:b/>
          <w:bCs/>
          <w:i/>
          <w:szCs w:val="20"/>
          <w:lang w:eastAsia="en-US"/>
        </w:rPr>
        <w:t xml:space="preserve">Нарушение порядка подачи, приема или смены </w:t>
      </w:r>
      <w:proofErr w:type="spellStart"/>
      <w:r w:rsidRPr="000A2401">
        <w:rPr>
          <w:rFonts w:ascii="Arial" w:hAnsi="Arial"/>
          <w:b/>
          <w:bCs/>
          <w:i/>
          <w:szCs w:val="20"/>
          <w:lang w:eastAsia="en-US"/>
        </w:rPr>
        <w:t>сторон</w:t>
      </w:r>
      <w:bookmarkEnd w:id="27"/>
      <w:r>
        <w:rPr>
          <w:rFonts w:ascii="Arial" w:hAnsi="Arial"/>
          <w:bCs/>
          <w:szCs w:val="20"/>
          <w:lang w:eastAsia="en-US"/>
        </w:rPr>
        <w:t>Слайд</w:t>
      </w:r>
      <w:proofErr w:type="spellEnd"/>
      <w:r>
        <w:rPr>
          <w:rFonts w:ascii="Arial" w:hAnsi="Arial"/>
          <w:bCs/>
          <w:szCs w:val="20"/>
          <w:lang w:eastAsia="en-US"/>
        </w:rPr>
        <w:t xml:space="preserve"> №16</w:t>
      </w:r>
      <w:bookmarkStart w:id="28" w:name="_GoBack"/>
      <w:bookmarkEnd w:id="28"/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Если игрок подает или принимает не в очередь, игра должна быть остановлена, как только ошибка обнаружена, а затем возобновлена с подачи и приема тех игроков, которым следовало подавать и принимать в соответствии с очередностью, установленной в начале встречи; в парных играх - в порядке очередности подач, определенных парой, получившей право первой подавать в партии, в течение которой обнаружена ошибка.</w:t>
      </w:r>
      <w:proofErr w:type="gramEnd"/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 xml:space="preserve">Если игроки не поменялись сторонами, когда им следовало это сделать, игра должна быть прервана судьей, как только ошибка обнаружена, а затем возобновлена при расположении игроков, какому следовало быть в соответствии с последовательностью, установленной в начале встречи, со счета, который </w:t>
      </w:r>
      <w:proofErr w:type="gramStart"/>
      <w:r w:rsidRPr="000A2401">
        <w:rPr>
          <w:rFonts w:ascii="Arial" w:hAnsi="Arial"/>
          <w:bCs/>
          <w:sz w:val="20"/>
          <w:szCs w:val="20"/>
          <w:lang w:eastAsia="en-US"/>
        </w:rPr>
        <w:t>был</w:t>
      </w:r>
      <w:proofErr w:type="gramEnd"/>
      <w:r w:rsidRPr="000A2401">
        <w:rPr>
          <w:rFonts w:ascii="Arial" w:hAnsi="Arial"/>
          <w:bCs/>
          <w:sz w:val="20"/>
          <w:szCs w:val="20"/>
          <w:lang w:eastAsia="en-US"/>
        </w:rPr>
        <w:t xml:space="preserve"> достигнут на момент обнаружения ошибки.</w:t>
      </w:r>
    </w:p>
    <w:p w:rsidR="00FE39A7" w:rsidRPr="000A2401" w:rsidRDefault="00FE39A7" w:rsidP="00E67043">
      <w:pPr>
        <w:keepLines/>
        <w:tabs>
          <w:tab w:val="num" w:pos="720"/>
        </w:tabs>
        <w:spacing w:before="60" w:after="0" w:line="240" w:lineRule="auto"/>
        <w:ind w:left="720" w:hanging="720"/>
        <w:jc w:val="both"/>
        <w:outlineLvl w:val="2"/>
        <w:rPr>
          <w:rFonts w:ascii="Arial" w:hAnsi="Arial"/>
          <w:bCs/>
          <w:sz w:val="20"/>
          <w:szCs w:val="20"/>
          <w:lang w:eastAsia="en-US"/>
        </w:rPr>
      </w:pPr>
      <w:r w:rsidRPr="000A2401">
        <w:rPr>
          <w:rFonts w:ascii="Arial" w:hAnsi="Arial"/>
          <w:bCs/>
          <w:sz w:val="20"/>
          <w:szCs w:val="20"/>
          <w:lang w:eastAsia="en-US"/>
        </w:rPr>
        <w:t>При любых обстоятельствах очки, набранные до обнаружения ошибки, должны быть засчитаны.</w:t>
      </w:r>
    </w:p>
    <w:p w:rsidR="00FE39A7" w:rsidRDefault="00FE39A7"/>
    <w:sectPr w:rsidR="00FE39A7" w:rsidSect="008F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35"/>
    <w:rsid w:val="00087863"/>
    <w:rsid w:val="000A2401"/>
    <w:rsid w:val="001D1CFD"/>
    <w:rsid w:val="00527635"/>
    <w:rsid w:val="0062399D"/>
    <w:rsid w:val="006E4AE8"/>
    <w:rsid w:val="00762E28"/>
    <w:rsid w:val="008A5EE2"/>
    <w:rsid w:val="008F0ABA"/>
    <w:rsid w:val="00982EF8"/>
    <w:rsid w:val="00996C48"/>
    <w:rsid w:val="00A466AC"/>
    <w:rsid w:val="00B61373"/>
    <w:rsid w:val="00BE7DEA"/>
    <w:rsid w:val="00D40EA1"/>
    <w:rsid w:val="00E67043"/>
    <w:rsid w:val="00FE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lo-L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43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704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2117</Words>
  <Characters>12073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5</cp:revision>
  <dcterms:created xsi:type="dcterms:W3CDTF">2014-03-26T12:45:00Z</dcterms:created>
  <dcterms:modified xsi:type="dcterms:W3CDTF">2014-11-01T18:45:00Z</dcterms:modified>
</cp:coreProperties>
</file>